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val="0"/>
          <w:bCs w:val="0"/>
          <w:color w:val="000000"/>
          <w:sz w:val="18"/>
          <w:szCs w:val="18"/>
        </w:rPr>
      </w:pPr>
      <w:r>
        <w:rPr>
          <w:rFonts w:hint="eastAsia" w:ascii="微软雅黑" w:hAnsi="微软雅黑" w:eastAsia="微软雅黑" w:cs="微软雅黑"/>
          <w:b w:val="0"/>
          <w:bCs w:val="0"/>
          <w:color w:val="000000"/>
          <w:sz w:val="18"/>
          <w:szCs w:val="18"/>
        </w:rPr>
        <w:t>第五章</w:t>
      </w:r>
      <w:r>
        <w:rPr>
          <w:rFonts w:hint="eastAsia" w:ascii="微软雅黑" w:hAnsi="微软雅黑" w:eastAsia="微软雅黑" w:cs="微软雅黑"/>
          <w:b w:val="0"/>
          <w:bCs w:val="0"/>
          <w:color w:val="000000"/>
          <w:sz w:val="18"/>
          <w:szCs w:val="18"/>
        </w:rPr>
        <w:t xml:space="preserve"> 职业危害控制技术</w:t>
      </w:r>
    </w:p>
    <w:p>
      <w:pPr>
        <w:rPr>
          <w:rFonts w:hint="eastAsia" w:ascii="微软雅黑" w:hAnsi="微软雅黑" w:eastAsia="微软雅黑" w:cs="微软雅黑"/>
          <w:b w:val="0"/>
          <w:bCs w:val="0"/>
          <w:color w:val="000000"/>
          <w:sz w:val="18"/>
          <w:szCs w:val="18"/>
        </w:rPr>
      </w:pPr>
      <w:r>
        <w:rPr>
          <w:rFonts w:hint="eastAsia" w:ascii="微软雅黑" w:hAnsi="微软雅黑" w:eastAsia="微软雅黑" w:cs="微软雅黑"/>
          <w:b w:val="0"/>
          <w:bCs w:val="0"/>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运用职业危害控制相关技术和标准，根据作业场所生产性粉尘、毒物和物理因素等对人体健康的影响方式和途径，辨识和分析作业场所存在的职业危害因素，采用工程控制技术措施和个体防护技术措施，消除或减少职业危害。</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2738120"/>
            <wp:effectExtent l="19050" t="0" r="254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5274310" cy="2738120"/>
                    </a:xfrm>
                    <a:prstGeom prst="rect">
                      <a:avLst/>
                    </a:prstGeom>
                  </pic:spPr>
                </pic:pic>
              </a:graphicData>
            </a:graphic>
          </wp:inline>
        </w:drawing>
      </w:r>
    </w:p>
    <w:p>
      <w:pPr>
        <w:rPr>
          <w:rFonts w:hint="eastAsia" w:ascii="微软雅黑" w:hAnsi="微软雅黑" w:eastAsia="微软雅黑" w:cs="微软雅黑"/>
          <w:color w:val="000000"/>
          <w:sz w:val="18"/>
          <w:szCs w:val="18"/>
        </w:rPr>
      </w:pP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职业危害控制基本原则和要求(表5一1)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5—1职业危害控制基本原则和要求</w:t>
      </w:r>
    </w:p>
    <w:tbl>
      <w:tblPr>
        <w:tblStyle w:val="4"/>
        <w:tblW w:w="8409" w:type="dxa"/>
        <w:tblInd w:w="15" w:type="dxa"/>
        <w:tblLayout w:type="fixed"/>
        <w:tblCellMar>
          <w:top w:w="0" w:type="dxa"/>
          <w:left w:w="0" w:type="dxa"/>
          <w:bottom w:w="0" w:type="dxa"/>
          <w:right w:w="0" w:type="dxa"/>
        </w:tblCellMar>
      </w:tblPr>
      <w:tblGrid>
        <w:gridCol w:w="782"/>
        <w:gridCol w:w="797"/>
        <w:gridCol w:w="9"/>
        <w:gridCol w:w="6821"/>
      </w:tblGrid>
      <w:tr>
        <w:tblPrEx>
          <w:tblLayout w:type="fixed"/>
          <w:tblCellMar>
            <w:top w:w="0" w:type="dxa"/>
            <w:left w:w="0" w:type="dxa"/>
            <w:bottom w:w="0" w:type="dxa"/>
            <w:right w:w="0" w:type="dxa"/>
          </w:tblCellMar>
        </w:tblPrEx>
        <w:trPr>
          <w:trHeight w:val="30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86"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防尘、防毒基本</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原则和要求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对于作业场所存在粉尘、毒物的企业防尘、防毒的基本原则是：优先采用先进的生产工艺、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技术和无毒</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或低毒</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的原材料，消除或减少尘、毒职业性有害因素。对于工艺、技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术和原材料达不到要求的，应根据生产工艺和粉尘、毒物特性，设计相应的防尘、防毒通风控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制措施，使劳动者活动的工作场所有害物质浓度符合相关标准的要求；如预期劳动者接触浓度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不符合要求的，应根据实际接触情况，采取有效的个人防护措施</w:t>
            </w:r>
          </w:p>
        </w:tc>
      </w:tr>
      <w:tr>
        <w:tblPrEx>
          <w:tblLayout w:type="fixed"/>
          <w:tblCellMar>
            <w:top w:w="0" w:type="dxa"/>
            <w:left w:w="0" w:type="dxa"/>
            <w:bottom w:w="0" w:type="dxa"/>
            <w:right w:w="0" w:type="dxa"/>
          </w:tblCellMar>
        </w:tblPrEx>
        <w:trPr>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232" w:hRule="atLeast"/>
        </w:trPr>
        <w:tc>
          <w:tcPr>
            <w:tcW w:w="782"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防噪声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与振动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则和要求</w:t>
            </w:r>
          </w:p>
          <w:p>
            <w:pPr>
              <w:autoSpaceDE w:val="0"/>
              <w:autoSpaceDN w:val="0"/>
              <w:rPr>
                <w:rFonts w:hint="eastAsia" w:ascii="微软雅黑" w:hAnsi="微软雅黑" w:eastAsia="微软雅黑" w:cs="微软雅黑"/>
                <w:color w:val="000000"/>
                <w:kern w:val="0"/>
                <w:sz w:val="18"/>
                <w:szCs w:val="18"/>
              </w:rPr>
            </w:pPr>
          </w:p>
        </w:tc>
        <w:tc>
          <w:tcPr>
            <w:tcW w:w="80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防噪声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对于生产过程和设备产生的噪声，应首先从声源上进行控制，使噪声作业劳动者接触噪声声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级符合相关标准的要求。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产生噪声的车间与非噪声作业车间、高噪声车间与低噪声车间应分开布置。产生噪声的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车间，应在控制噪声发生源的基础上，对厂房的建筑设计采取减轻噪声影响的措施，注意增加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隔声、吸声措施。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在满足工艺流程要求的前提下，宜将高噪声设备相对集中，并采取相应的隔声、吸声、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消声、减振等控制措施。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为减少噪声的传播，宜设置隔声室。隔声室的天棚、墙体、门窗均应符合隔声、吸声的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要求</w:t>
            </w:r>
          </w:p>
        </w:tc>
      </w:tr>
      <w:tr>
        <w:tblPrEx>
          <w:tblLayout w:type="fixed"/>
          <w:tblCellMar>
            <w:top w:w="0" w:type="dxa"/>
            <w:left w:w="0" w:type="dxa"/>
            <w:bottom w:w="0" w:type="dxa"/>
            <w:right w:w="0" w:type="dxa"/>
          </w:tblCellMar>
        </w:tblPrEx>
        <w:trPr>
          <w:trHeight w:val="624" w:hRule="atLeast"/>
        </w:trPr>
        <w:tc>
          <w:tcPr>
            <w:tcW w:w="782"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80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防振动</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作业场所存在振动危害的企业应采用新技术、新工艺、新方法避免振动对健康的影响，应首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先控制振动源．使振动强度符合相关标准的要求</w:t>
            </w:r>
          </w:p>
        </w:tc>
      </w:tr>
      <w:tr>
        <w:tblPrEx>
          <w:tblLayout w:type="fixed"/>
          <w:tblCellMar>
            <w:top w:w="0" w:type="dxa"/>
            <w:left w:w="0" w:type="dxa"/>
            <w:bottom w:w="0" w:type="dxa"/>
            <w:right w:w="0" w:type="dxa"/>
          </w:tblCellMar>
        </w:tblPrEx>
        <w:trPr>
          <w:trHeight w:val="1752"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防高温基本</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原则和要求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作业场所存在高温作业的企业应优先采用先进的生产工艺、技术和原材料．工艺流程的设计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宜使操作人员远离热源，同时根据其具体条件采取必要的隔热、通风、降温等措施．消除高温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职业危害。对于工艺、技术和原材料达不到要求的，应根据生产工艺、技术、原材料特性以及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自然条件，通过采取工程控制措施和必要的组织措施，如减少生产过程中的热和水蒸气释放、</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屏蔽热辐射源、加强通风、减少劳动时间、改善作业方式等，使室内和露天作业地点</w:t>
            </w:r>
            <w:r>
              <w:rPr>
                <w:rFonts w:hint="eastAsia" w:ascii="微软雅黑" w:hAnsi="微软雅黑" w:eastAsia="微软雅黑" w:cs="微软雅黑"/>
                <w:color w:val="000000"/>
                <w:kern w:val="0"/>
                <w:sz w:val="18"/>
                <w:szCs w:val="18"/>
              </w:rPr>
              <w:t>WBGT</w:t>
            </w:r>
            <w:r>
              <w:rPr>
                <w:rFonts w:hint="eastAsia" w:ascii="微软雅黑" w:hAnsi="微软雅黑" w:eastAsia="微软雅黑" w:cs="微软雅黑"/>
                <w:color w:val="000000"/>
                <w:kern w:val="0"/>
                <w:sz w:val="18"/>
                <w:szCs w:val="18"/>
              </w:rPr>
              <w:t>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数符合相关标准的要求。对于劳动者室内和露天作业</w:t>
            </w:r>
            <w:r>
              <w:rPr>
                <w:rFonts w:hint="eastAsia" w:ascii="微软雅黑" w:hAnsi="微软雅黑" w:eastAsia="微软雅黑" w:cs="微软雅黑"/>
                <w:color w:val="000000"/>
                <w:kern w:val="0"/>
                <w:sz w:val="18"/>
                <w:szCs w:val="18"/>
              </w:rPr>
              <w:t>WBGT</w:t>
            </w:r>
            <w:r>
              <w:rPr>
                <w:rFonts w:hint="eastAsia" w:ascii="微软雅黑" w:hAnsi="微软雅黑" w:eastAsia="微软雅黑" w:cs="微软雅黑"/>
                <w:color w:val="000000"/>
                <w:kern w:val="0"/>
                <w:sz w:val="18"/>
                <w:szCs w:val="18"/>
              </w:rPr>
              <w:t>指数不符合标准要求的，应根据实</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际接触情况采取有效的个人防护措施</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生产性粉尘的分类(表5—2)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表5—2生产性粉尘的分类</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类别</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无机性粉尘</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无机性粉尘包括矿物性粉尘，如硅石、石棉、煤等；金属性粉尘，如铁、锡、铝等及其化合</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物；人工无机性粉尘，如水泥、金剐砂等</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有机性粉尘</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有机性粉尘包括植物性粉尘，如棉、麻、面粉、木材；动物性粉尘，如皮毛、丝、骨质粉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尘；人工合成有机粉尘，如有机染料、农药、合成树脂、炸药和人造纤维等</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混合性粉尘</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混合性粉尘是上述各种粉尘的混合存在，一般包括两种以上的粉尘。生产环境中最常见的就</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是混合性粉尘</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生产性粉尘的理化性质(表5—3)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5—3生产性粉尘的理化性质</w:t>
      </w:r>
    </w:p>
    <w:tbl>
      <w:tblPr>
        <w:tblStyle w:val="4"/>
        <w:tblW w:w="8400" w:type="dxa"/>
        <w:tblInd w:w="15" w:type="dxa"/>
        <w:tblLayout w:type="fixed"/>
        <w:tblCellMar>
          <w:top w:w="0" w:type="dxa"/>
          <w:left w:w="0" w:type="dxa"/>
          <w:bottom w:w="0" w:type="dxa"/>
          <w:right w:w="0" w:type="dxa"/>
        </w:tblCellMar>
      </w:tblPr>
      <w:tblGrid>
        <w:gridCol w:w="1588"/>
        <w:gridCol w:w="6812"/>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理化性质</w:t>
            </w:r>
          </w:p>
        </w:tc>
        <w:tc>
          <w:tcPr>
            <w:tcW w:w="6812"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化学成分</w:t>
            </w: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粉尘的化学成分、浓度和接触时间是直接决定粉尘对人体危害性质和严重程度的重要因素。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根据粉尘化学性质不同。粉尘对人体有致纤维化、中毒、致敏等作用．如游离二氧化硅粉尘的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致纤维化作用</w:t>
            </w:r>
          </w:p>
        </w:tc>
      </w:tr>
      <w:tr>
        <w:tblPrEx>
          <w:tblLayout w:type="fixed"/>
          <w:tblCellMar>
            <w:top w:w="0" w:type="dxa"/>
            <w:left w:w="0" w:type="dxa"/>
            <w:bottom w:w="0" w:type="dxa"/>
            <w:right w:w="0" w:type="dxa"/>
          </w:tblCellMar>
        </w:tblPrEx>
        <w:trPr>
          <w:trHeight w:val="110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分散度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粉尘的分散度是表示粉尘颗粒大小的一个概念。在生产环境中，由于通风、热源、机器转动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以及人员走动等原冈．使空气经常流动。从而使尘粒沉降变慢，延长其在空气中的浮游时间，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被人吸人的机会就越多。直径小于</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μ</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的粉尘对机体的危害性较大，也易于达到呼吸器官的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深部</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溶解度与密度</w:t>
            </w: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粉尘溶解度大小与对人危害程度的关系．因粉尘作用性质不同而异。主要呈化学毒副作用的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粉尘，随溶解度的增加其危害作用增强；主要呈机械刺激作用的粉尘，随溶解度的增加其危害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作用减弱</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形状与硬度</w:t>
            </w: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粉尘的形状能影响其稳定程度，坚硬并外形尖锐的尘粒可能引起呼吸道黏膜机械损伤</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荷电性</w:t>
            </w: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高分散度的尘粒通常带有电荷，与作业环境的湿度和温度有关</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爆炸性</w:t>
            </w:r>
          </w:p>
        </w:tc>
        <w:tc>
          <w:tcPr>
            <w:tcW w:w="6812"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高分散度的煤炭、糖、面粉、硫黄、销、锌等粉尘具有爆炸性</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生产性粉尘治理的技术措施(表5—4)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5—4生产性粉尘治理的技术措施</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技术措施</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改革工艺过程</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通过改革工艺流程使生产过程机械化、密闭化、自动化，从而消除和降低粉尘危害</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湿式作业</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该方法已为厂矿广泛应用，如石粉厂的水磨石英和陶瓷厂、玻璃厂的原料水碾、湿法拌料、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水力清砂、水爆清砂等</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密闭、抽风、除尘</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对不能采取湿式作业的场所应采用这一方法</w:t>
            </w:r>
          </w:p>
        </w:tc>
      </w:tr>
      <w:tr>
        <w:tblPrEx>
          <w:tblLayout w:type="fixed"/>
          <w:tblCellMar>
            <w:top w:w="0" w:type="dxa"/>
            <w:left w:w="0" w:type="dxa"/>
            <w:bottom w:w="0" w:type="dxa"/>
            <w:right w:w="0" w:type="dxa"/>
          </w:tblCellMar>
        </w:tblPrEx>
        <w:trPr>
          <w:trHeight w:val="31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个体防护</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当防、降尘措施难以使粉尘浓度降至国家标准水平以下时，应佩戴防尘护具</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生产性毒物的来源与存在形态(表5—5)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表5—5生产性毒物的来源与存在形态</w:t>
      </w:r>
    </w:p>
    <w:tbl>
      <w:tblPr>
        <w:tblStyle w:val="4"/>
        <w:tblW w:w="8409" w:type="dxa"/>
        <w:tblInd w:w="15" w:type="dxa"/>
        <w:tblLayout w:type="fixed"/>
        <w:tblCellMar>
          <w:top w:w="0" w:type="dxa"/>
          <w:left w:w="0" w:type="dxa"/>
          <w:bottom w:w="0" w:type="dxa"/>
          <w:right w:w="0" w:type="dxa"/>
        </w:tblCellMar>
      </w:tblPr>
      <w:tblGrid>
        <w:gridCol w:w="782"/>
        <w:gridCol w:w="10"/>
        <w:gridCol w:w="787"/>
        <w:gridCol w:w="9"/>
        <w:gridCol w:w="6802"/>
        <w:gridCol w:w="19"/>
      </w:tblGrid>
      <w:tr>
        <w:tblPrEx>
          <w:tblLayout w:type="fixed"/>
          <w:tblCellMar>
            <w:top w:w="0" w:type="dxa"/>
            <w:left w:w="0" w:type="dxa"/>
            <w:bottom w:w="0" w:type="dxa"/>
            <w:right w:w="0" w:type="dxa"/>
          </w:tblCellMar>
        </w:tblPrEx>
        <w:trPr>
          <w:gridAfter w:val="1"/>
          <w:wAfter w:w="19" w:type="dxa"/>
          <w:trHeight w:val="307" w:hRule="atLeast"/>
        </w:trPr>
        <w:tc>
          <w:tcPr>
            <w:tcW w:w="1579"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1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9" w:type="dxa"/>
          <w:trHeight w:val="796" w:hRule="atLeast"/>
        </w:trPr>
        <w:tc>
          <w:tcPr>
            <w:tcW w:w="1579"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来源</w:t>
            </w:r>
          </w:p>
          <w:p>
            <w:pPr>
              <w:autoSpaceDE w:val="0"/>
              <w:autoSpaceDN w:val="0"/>
              <w:rPr>
                <w:rFonts w:hint="eastAsia" w:ascii="微软雅黑" w:hAnsi="微软雅黑" w:eastAsia="微软雅黑" w:cs="微软雅黑"/>
                <w:color w:val="000000"/>
                <w:kern w:val="0"/>
                <w:sz w:val="18"/>
                <w:szCs w:val="18"/>
              </w:rPr>
            </w:pPr>
          </w:p>
        </w:tc>
        <w:tc>
          <w:tcPr>
            <w:tcW w:w="681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主要来源于原料、辅助材料、中间产品、夹杂物、半成品、成品、废气、废液及废渣．有时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也可能来自加热分解的产物。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生产性毒物进入人体的途径主要是经呼吸道，也可经皮肤和消化道进入</w:t>
            </w:r>
          </w:p>
        </w:tc>
      </w:tr>
      <w:tr>
        <w:tblPrEx>
          <w:tblLayout w:type="fixed"/>
          <w:tblCellMar>
            <w:top w:w="0" w:type="dxa"/>
            <w:left w:w="0" w:type="dxa"/>
            <w:bottom w:w="0" w:type="dxa"/>
            <w:right w:w="0" w:type="dxa"/>
          </w:tblCellMar>
        </w:tblPrEx>
        <w:trPr>
          <w:gridAfter w:val="1"/>
          <w:wAfter w:w="19" w:type="dxa"/>
          <w:trHeight w:val="321" w:hRule="atLeast"/>
        </w:trPr>
        <w:tc>
          <w:tcPr>
            <w:tcW w:w="782"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气体</w:t>
            </w:r>
          </w:p>
        </w:tc>
        <w:tc>
          <w:tcPr>
            <w:tcW w:w="681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在常温、常压条件下，散发于空气中的气体，如氯、溴、氨、一氧化碳和甲烷等</w:t>
            </w:r>
          </w:p>
        </w:tc>
      </w:tr>
      <w:tr>
        <w:tblPrEx>
          <w:tblLayout w:type="fixed"/>
          <w:tblCellMar>
            <w:top w:w="0" w:type="dxa"/>
            <w:left w:w="0" w:type="dxa"/>
            <w:bottom w:w="0" w:type="dxa"/>
            <w:right w:w="0" w:type="dxa"/>
          </w:tblCellMar>
        </w:tblPrEx>
        <w:trPr>
          <w:gridAfter w:val="1"/>
          <w:wAfter w:w="19" w:type="dxa"/>
          <w:trHeight w:val="321" w:hRule="atLeast"/>
        </w:trPr>
        <w:tc>
          <w:tcPr>
            <w:tcW w:w="782"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蒸气</w:t>
            </w:r>
          </w:p>
        </w:tc>
        <w:tc>
          <w:tcPr>
            <w:tcW w:w="681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固体升华、液体蒸发时形成蒸气，如水银蒸气和苯蒸气等</w:t>
            </w:r>
          </w:p>
        </w:tc>
      </w:tr>
      <w:tr>
        <w:tblPrEx>
          <w:tblLayout w:type="fixed"/>
          <w:tblCellMar>
            <w:top w:w="0" w:type="dxa"/>
            <w:left w:w="0" w:type="dxa"/>
            <w:bottom w:w="0" w:type="dxa"/>
            <w:right w:w="0" w:type="dxa"/>
          </w:tblCellMar>
        </w:tblPrEx>
        <w:trPr>
          <w:gridAfter w:val="1"/>
          <w:wAfter w:w="19" w:type="dxa"/>
          <w:trHeight w:val="643" w:hRule="atLeast"/>
        </w:trPr>
        <w:tc>
          <w:tcPr>
            <w:tcW w:w="782"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毒物形态</w:t>
            </w:r>
          </w:p>
          <w:p>
            <w:pPr>
              <w:autoSpaceDE w:val="0"/>
              <w:autoSpaceDN w:val="0"/>
              <w:rPr>
                <w:rFonts w:hint="eastAsia" w:ascii="微软雅黑" w:hAnsi="微软雅黑" w:eastAsia="微软雅黑" w:cs="微软雅黑"/>
                <w:color w:val="000000"/>
                <w:kern w:val="0"/>
                <w:sz w:val="18"/>
                <w:szCs w:val="18"/>
              </w:rPr>
            </w:pPr>
          </w:p>
        </w:tc>
        <w:tc>
          <w:tcPr>
            <w:tcW w:w="797"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雾</w:t>
            </w:r>
          </w:p>
          <w:p>
            <w:pPr>
              <w:autoSpaceDE w:val="0"/>
              <w:autoSpaceDN w:val="0"/>
              <w:rPr>
                <w:rFonts w:hint="eastAsia" w:ascii="微软雅黑" w:hAnsi="微软雅黑" w:eastAsia="微软雅黑" w:cs="微软雅黑"/>
                <w:color w:val="000000"/>
                <w:kern w:val="0"/>
                <w:sz w:val="18"/>
                <w:szCs w:val="18"/>
              </w:rPr>
            </w:pPr>
          </w:p>
        </w:tc>
        <w:tc>
          <w:tcPr>
            <w:tcW w:w="681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混悬于空气中的液体微粒．如喷洒农药和喷漆时所形成的雾滴，镀铬和蓄电池充电时逸出的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铬酸雾和硫酸雾等</w:t>
            </w:r>
          </w:p>
        </w:tc>
      </w:tr>
      <w:tr>
        <w:tblPrEx>
          <w:tblLayout w:type="fixed"/>
          <w:tblCellMar>
            <w:top w:w="0" w:type="dxa"/>
            <w:left w:w="0" w:type="dxa"/>
            <w:bottom w:w="0" w:type="dxa"/>
            <w:right w:w="0" w:type="dxa"/>
          </w:tblCellMar>
        </w:tblPrEx>
        <w:trPr>
          <w:gridAfter w:val="1"/>
          <w:wAfter w:w="19" w:type="dxa"/>
          <w:trHeight w:val="633" w:hRule="atLeast"/>
        </w:trPr>
        <w:tc>
          <w:tcPr>
            <w:tcW w:w="782"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7"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炯</w:t>
            </w:r>
          </w:p>
          <w:p>
            <w:pPr>
              <w:autoSpaceDE w:val="0"/>
              <w:autoSpaceDN w:val="0"/>
              <w:rPr>
                <w:rFonts w:hint="eastAsia" w:ascii="微软雅黑" w:hAnsi="微软雅黑" w:eastAsia="微软雅黑" w:cs="微软雅黑"/>
                <w:color w:val="000000"/>
                <w:kern w:val="0"/>
                <w:sz w:val="18"/>
                <w:szCs w:val="18"/>
              </w:rPr>
            </w:pPr>
          </w:p>
        </w:tc>
        <w:tc>
          <w:tcPr>
            <w:tcW w:w="681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直径小于</w:t>
            </w:r>
            <w:r>
              <w:rPr>
                <w:rFonts w:hint="eastAsia" w:ascii="微软雅黑" w:hAnsi="微软雅黑" w:eastAsia="微软雅黑" w:cs="微软雅黑"/>
                <w:color w:val="000000"/>
                <w:kern w:val="0"/>
                <w:sz w:val="18"/>
                <w:szCs w:val="18"/>
              </w:rPr>
              <w:t>0.1</w:t>
            </w:r>
            <w:r>
              <w:rPr>
                <w:rFonts w:hint="eastAsia" w:ascii="微软雅黑" w:hAnsi="微软雅黑" w:eastAsia="微软雅黑" w:cs="微软雅黑"/>
                <w:color w:val="000000"/>
                <w:kern w:val="0"/>
                <w:sz w:val="18"/>
                <w:szCs w:val="18"/>
              </w:rPr>
              <w:t>μ</w:t>
            </w:r>
            <w:r>
              <w:rPr>
                <w:rFonts w:hint="eastAsia" w:ascii="微软雅黑" w:hAnsi="微软雅黑" w:eastAsia="微软雅黑" w:cs="微软雅黑"/>
                <w:color w:val="000000"/>
                <w:kern w:val="0"/>
                <w:sz w:val="18"/>
                <w:szCs w:val="18"/>
              </w:rPr>
              <w:t>m</w:t>
            </w:r>
            <w:r>
              <w:rPr>
                <w:rFonts w:hint="eastAsia" w:ascii="微软雅黑" w:hAnsi="微软雅黑" w:eastAsia="微软雅黑" w:cs="微软雅黑"/>
                <w:color w:val="000000"/>
                <w:kern w:val="0"/>
                <w:sz w:val="18"/>
                <w:szCs w:val="18"/>
              </w:rPr>
              <w:t>的悬浮于空气中的固体微粒．如熔铜时产生的氧化锌烟尘，熔镉时产生的氧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化镉烟尘，电焊时产生的电焊烟尘等</w:t>
            </w:r>
          </w:p>
        </w:tc>
      </w:tr>
      <w:tr>
        <w:tblPrEx>
          <w:tblLayout w:type="fixed"/>
          <w:tblCellMar>
            <w:top w:w="0" w:type="dxa"/>
            <w:left w:w="0" w:type="dxa"/>
            <w:bottom w:w="0" w:type="dxa"/>
            <w:right w:w="0" w:type="dxa"/>
          </w:tblCellMar>
        </w:tblPrEx>
        <w:trPr>
          <w:trHeight w:val="302" w:hRule="atLeast"/>
        </w:trPr>
        <w:tc>
          <w:tcPr>
            <w:tcW w:w="1588" w:type="dxa"/>
            <w:gridSpan w:val="4"/>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28" w:hRule="atLeast"/>
        </w:trPr>
        <w:tc>
          <w:tcPr>
            <w:tcW w:w="792"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毒物形态</w:t>
            </w:r>
          </w:p>
          <w:p>
            <w:pPr>
              <w:autoSpaceDE w:val="0"/>
              <w:autoSpaceDN w:val="0"/>
              <w:rPr>
                <w:rFonts w:hint="eastAsia" w:ascii="微软雅黑" w:hAnsi="微软雅黑" w:eastAsia="微软雅黑" w:cs="微软雅黑"/>
                <w:color w:val="000000"/>
                <w:kern w:val="0"/>
                <w:sz w:val="18"/>
                <w:szCs w:val="18"/>
              </w:rPr>
            </w:pPr>
          </w:p>
        </w:tc>
        <w:tc>
          <w:tcPr>
            <w:tcW w:w="796"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粉尘</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能较长时间悬浮于空气中的固体微粒，直径大多数为</w:t>
            </w:r>
            <w:r>
              <w:rPr>
                <w:rFonts w:hint="eastAsia" w:ascii="微软雅黑" w:hAnsi="微软雅黑" w:eastAsia="微软雅黑" w:cs="微软雅黑"/>
                <w:color w:val="000000"/>
                <w:kern w:val="0"/>
                <w:sz w:val="18"/>
                <w:szCs w:val="18"/>
              </w:rPr>
              <w:t>0.1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μ</w:t>
            </w:r>
            <w:r>
              <w:rPr>
                <w:rFonts w:hint="eastAsia" w:ascii="微软雅黑" w:hAnsi="微软雅黑" w:eastAsia="微软雅黑" w:cs="微软雅黑"/>
                <w:color w:val="000000"/>
                <w:kern w:val="0"/>
                <w:sz w:val="18"/>
                <w:szCs w:val="18"/>
              </w:rPr>
              <w:t>m</w:t>
            </w:r>
            <w:r>
              <w:rPr>
                <w:rFonts w:hint="eastAsia" w:ascii="微软雅黑" w:hAnsi="微软雅黑" w:eastAsia="微软雅黑" w:cs="微软雅黑"/>
                <w:color w:val="000000"/>
                <w:kern w:val="0"/>
                <w:sz w:val="18"/>
                <w:szCs w:val="18"/>
              </w:rPr>
              <w:t>。固体物质的机械加工、粉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碎、筛分、包装等可引起粉尘飞扬</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生产性毒物危害治理措施(表5—6)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表5—6生产性毒物危害治理措施</w:t>
      </w:r>
    </w:p>
    <w:tbl>
      <w:tblPr>
        <w:tblStyle w:val="4"/>
        <w:tblW w:w="8409" w:type="dxa"/>
        <w:tblInd w:w="15" w:type="dxa"/>
        <w:tblLayout w:type="fixed"/>
        <w:tblCellMar>
          <w:top w:w="0" w:type="dxa"/>
          <w:left w:w="0" w:type="dxa"/>
          <w:bottom w:w="0" w:type="dxa"/>
          <w:right w:w="0" w:type="dxa"/>
        </w:tblCellMar>
      </w:tblPr>
      <w:tblGrid>
        <w:gridCol w:w="1579"/>
        <w:gridCol w:w="9"/>
        <w:gridCol w:w="6812"/>
        <w:gridCol w:w="9"/>
      </w:tblGrid>
      <w:tr>
        <w:tblPrEx>
          <w:tblLayout w:type="fixed"/>
          <w:tblCellMar>
            <w:top w:w="0" w:type="dxa"/>
            <w:left w:w="0" w:type="dxa"/>
            <w:bottom w:w="0" w:type="dxa"/>
            <w:right w:w="0" w:type="dxa"/>
          </w:tblCellMar>
        </w:tblPrEx>
        <w:trPr>
          <w:gridAfter w:val="1"/>
          <w:wAfter w:w="9" w:type="dxa"/>
          <w:trHeight w:val="29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治理措施</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9" w:type="dxa"/>
          <w:trHeight w:val="321"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密闭一通风排毒系统</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该系统由密闭罩、通风管、净化装置和通风机构成</w:t>
            </w:r>
          </w:p>
        </w:tc>
      </w:tr>
      <w:tr>
        <w:tblPrEx>
          <w:tblLayout w:type="fixed"/>
          <w:tblCellMar>
            <w:top w:w="0" w:type="dxa"/>
            <w:left w:w="0" w:type="dxa"/>
            <w:bottom w:w="0" w:type="dxa"/>
            <w:right w:w="0" w:type="dxa"/>
          </w:tblCellMar>
        </w:tblPrEx>
        <w:trPr>
          <w:gridAfter w:val="1"/>
          <w:wAfter w:w="9" w:type="dxa"/>
          <w:trHeight w:val="321"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局部排气罩</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局部排气罩按其构造分为密闭罩、开口罩以及通风橱</w:t>
            </w:r>
          </w:p>
        </w:tc>
      </w:tr>
      <w:tr>
        <w:tblPrEx>
          <w:tblLayout w:type="fixed"/>
          <w:tblCellMar>
            <w:top w:w="0" w:type="dxa"/>
            <w:left w:w="0" w:type="dxa"/>
            <w:bottom w:w="0" w:type="dxa"/>
            <w:right w:w="0" w:type="dxa"/>
          </w:tblCellMar>
        </w:tblPrEx>
        <w:trPr>
          <w:gridAfter w:val="1"/>
          <w:wAfter w:w="9" w:type="dxa"/>
          <w:trHeight w:val="1036"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排出气体的净化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根据输送介质特性和生产工艺的不同，可采用不同的有害气体净化方法。确定净化方案的原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则是：设汁前必须确定有害物质的成分、含量和毒性等理化指标；确定有害物质的净化目标和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综合利用方向，应符合卫生标准和环境保护标准的规定；净化设备的工艺特性，必须与有害介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质的特性相一致；落实防火、防爆的特殊要求。</w:t>
            </w:r>
          </w:p>
        </w:tc>
      </w:tr>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治理措施</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539"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排出气体的净化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有害气体净化方法大致分为洗涤法、吸附法、袋滤法、静电法、燃烧法和高空排放法。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洗涤法。是通过适当比例的液体吸收剂处理气体混合物，完成沉降、降温、聚凝、洗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净、中和、吸收和脱水等物理化学反应，以实现气体的净化。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吸附法。是使有害气体与多孑</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性固体</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吸附剂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接触，使有害物</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吸附质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黏附在固体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表面上</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物理吸附</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袋滤法。是粉尘通过过滤介质受阻，而将固体颗粒物分离出来的方法。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静电法。是粒子在电场作用下，带荷电后，粒子向沉淀极移动，带电粒子碰到集尘极即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释放电子而呈中性状态附着集尘板上，从而被捕捉下来，完成气体净化的方法。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燃烧法。是将有害气体中的可燃成分与氧结合，进行燃烧，使其转化为</w:t>
            </w:r>
            <w:r>
              <w:rPr>
                <w:rFonts w:hint="eastAsia" w:ascii="微软雅黑" w:hAnsi="微软雅黑" w:eastAsia="微软雅黑" w:cs="微软雅黑"/>
                <w:color w:val="000000"/>
                <w:kern w:val="0"/>
                <w:sz w:val="18"/>
                <w:szCs w:val="18"/>
              </w:rPr>
              <w:t>C02</w:t>
            </w:r>
            <w:r>
              <w:rPr>
                <w:rFonts w:hint="eastAsia" w:ascii="微软雅黑" w:hAnsi="微软雅黑" w:eastAsia="微软雅黑" w:cs="微软雅黑"/>
                <w:color w:val="000000"/>
                <w:kern w:val="0"/>
                <w:sz w:val="18"/>
                <w:szCs w:val="18"/>
              </w:rPr>
              <w:t>和</w:t>
            </w:r>
            <w:r>
              <w:rPr>
                <w:rFonts w:hint="eastAsia" w:ascii="微软雅黑" w:hAnsi="微软雅黑" w:eastAsia="微软雅黑" w:cs="微软雅黑"/>
                <w:color w:val="000000"/>
                <w:kern w:val="0"/>
                <w:sz w:val="18"/>
                <w:szCs w:val="18"/>
              </w:rPr>
              <w:t>H20</w:t>
            </w:r>
            <w:r>
              <w:rPr>
                <w:rFonts w:hint="eastAsia" w:ascii="微软雅黑" w:hAnsi="微软雅黑" w:eastAsia="微软雅黑" w:cs="微软雅黑"/>
                <w:color w:val="000000"/>
                <w:kern w:val="0"/>
                <w:sz w:val="18"/>
                <w:szCs w:val="18"/>
              </w:rPr>
              <w:t>，达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到气体净化与无害物排放的方法</w:t>
            </w:r>
          </w:p>
        </w:tc>
      </w:tr>
      <w:tr>
        <w:tblPrEx>
          <w:tblLayout w:type="fixed"/>
          <w:tblCellMar>
            <w:top w:w="0" w:type="dxa"/>
            <w:left w:w="0" w:type="dxa"/>
            <w:bottom w:w="0" w:type="dxa"/>
            <w:right w:w="0" w:type="dxa"/>
          </w:tblCellMar>
        </w:tblPrEx>
        <w:trPr>
          <w:trHeight w:val="633"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个体防护</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凡是接触毒物的作业都应规定有针对性的个人卫生制度，属于作业场所的防护用品有防腐服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装、防毒口罩和防毒面具</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密闭空间作业管理(表5—7)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表5—7密闭空间作业管理</w:t>
      </w:r>
    </w:p>
    <w:tbl>
      <w:tblPr>
        <w:tblStyle w:val="4"/>
        <w:tblW w:w="8390" w:type="dxa"/>
        <w:tblInd w:w="15" w:type="dxa"/>
        <w:tblLayout w:type="fixed"/>
        <w:tblCellMar>
          <w:top w:w="0" w:type="dxa"/>
          <w:left w:w="0" w:type="dxa"/>
          <w:bottom w:w="0" w:type="dxa"/>
          <w:right w:w="0" w:type="dxa"/>
        </w:tblCellMar>
      </w:tblPr>
      <w:tblGrid>
        <w:gridCol w:w="1588"/>
        <w:gridCol w:w="6802"/>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02"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准入管理</w:t>
            </w:r>
          </w:p>
        </w:tc>
        <w:tc>
          <w:tcPr>
            <w:tcW w:w="680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进入密闭空间作业应由用人单位实施安全作业准入</w:t>
            </w:r>
          </w:p>
        </w:tc>
      </w:tr>
      <w:tr>
        <w:tblPrEx>
          <w:tblLayout w:type="fixed"/>
        </w:tblPrEx>
        <w:trPr>
          <w:trHeight w:val="215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消除或减少密闭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空间的职业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危害的措施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02"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明确密闭空间作业负责人、被批准进入作业的劳动者和外部监护或监督人员及其职责。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在密闭空间外设置警示标识，告知密闭空间的位置和所存在的危害。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提供有关的职业安全卫生培训</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当实施密闭空问作业前，须评估密闭空间可能存在的职业危害．以确定该密闭空间是否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准入作业。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采取有效措施．防止未经容许的劳动者进入密闭空间。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提供密闭空间作业的合格的安全防护设施与个体防护用品及报警仪器。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提供应急救援保障</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考点八</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噪声(表5—8)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表5—8噪声</w:t>
      </w:r>
    </w:p>
    <w:tbl>
      <w:tblPr>
        <w:tblStyle w:val="4"/>
        <w:tblW w:w="8409" w:type="dxa"/>
        <w:tblInd w:w="15" w:type="dxa"/>
        <w:tblLayout w:type="fixed"/>
        <w:tblCellMar>
          <w:top w:w="0" w:type="dxa"/>
          <w:left w:w="0" w:type="dxa"/>
          <w:bottom w:w="0" w:type="dxa"/>
          <w:right w:w="0" w:type="dxa"/>
        </w:tblCellMar>
      </w:tblPr>
      <w:tblGrid>
        <w:gridCol w:w="388"/>
        <w:gridCol w:w="404"/>
        <w:gridCol w:w="787"/>
        <w:gridCol w:w="6830"/>
      </w:tblGrid>
      <w:tr>
        <w:tblPrEx>
          <w:tblLayout w:type="fixed"/>
          <w:tblCellMar>
            <w:top w:w="0" w:type="dxa"/>
            <w:left w:w="0" w:type="dxa"/>
            <w:bottom w:w="0" w:type="dxa"/>
            <w:right w:w="0" w:type="dxa"/>
          </w:tblCellMar>
        </w:tblPrEx>
        <w:trPr>
          <w:trHeight w:val="336" w:hRule="atLeast"/>
        </w:trPr>
        <w:tc>
          <w:tcPr>
            <w:tcW w:w="1579"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91"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在生产中，由于机器转动、气体排放、工件撞击与摩擦所产生的噪声，称为生产性噪声或工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业噪声</w:t>
            </w:r>
          </w:p>
        </w:tc>
      </w:tr>
      <w:tr>
        <w:tblPrEx>
          <w:tblLayout w:type="fixed"/>
          <w:tblCellMar>
            <w:top w:w="0" w:type="dxa"/>
            <w:left w:w="0" w:type="dxa"/>
            <w:bottom w:w="0" w:type="dxa"/>
            <w:right w:w="0" w:type="dxa"/>
          </w:tblCellMar>
        </w:tblPrEx>
        <w:trPr>
          <w:trHeight w:val="955" w:hRule="atLeast"/>
        </w:trPr>
        <w:tc>
          <w:tcPr>
            <w:tcW w:w="38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声的</w:t>
            </w:r>
          </w:p>
          <w:p>
            <w:pPr>
              <w:autoSpaceDE w:val="0"/>
              <w:autoSpaceDN w:val="0"/>
              <w:rPr>
                <w:rFonts w:hint="eastAsia" w:ascii="微软雅黑" w:hAnsi="微软雅黑" w:eastAsia="微软雅黑" w:cs="微软雅黑"/>
                <w:color w:val="000000"/>
                <w:kern w:val="0"/>
                <w:sz w:val="18"/>
                <w:szCs w:val="18"/>
              </w:rPr>
            </w:pPr>
          </w:p>
        </w:tc>
        <w:tc>
          <w:tcPr>
            <w:tcW w:w="40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8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空气动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力噪声</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空气动力噪声，是由于气体压力变化引起气体扰动．气体与其他物体相互作用所致。如，各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种风机、空气压缩机、风动工具、喷气发动机和汽轮机等，由于压力脉冲和气体排放发出的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噪声</w:t>
            </w:r>
          </w:p>
        </w:tc>
      </w:tr>
      <w:tr>
        <w:tblPrEx>
          <w:tblLayout w:type="fixed"/>
          <w:tblCellMar>
            <w:top w:w="0" w:type="dxa"/>
            <w:left w:w="0" w:type="dxa"/>
            <w:bottom w:w="0" w:type="dxa"/>
            <w:right w:w="0" w:type="dxa"/>
          </w:tblCellMar>
        </w:tblPrEx>
        <w:trPr>
          <w:trHeight w:val="638"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w:t>
            </w:r>
          </w:p>
        </w:tc>
        <w:tc>
          <w:tcPr>
            <w:tcW w:w="404" w:type="dxa"/>
            <w:vMerge w:val="restart"/>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tc>
        <w:tc>
          <w:tcPr>
            <w:tcW w:w="78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噪声</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机械性噪声，是由于机械撞击、摩擦或质量不平衡旋转等机械力作用下引起固体部件振动所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产生的噪声</w:t>
            </w:r>
          </w:p>
        </w:tc>
      </w:tr>
      <w:tr>
        <w:tblPrEx>
          <w:tblLayout w:type="fixed"/>
          <w:tblCellMar>
            <w:top w:w="0" w:type="dxa"/>
            <w:left w:w="0" w:type="dxa"/>
            <w:bottom w:w="0" w:type="dxa"/>
            <w:right w:w="0" w:type="dxa"/>
          </w:tblCellMar>
        </w:tblPrEx>
        <w:trPr>
          <w:trHeight w:val="638" w:hRule="atLeast"/>
        </w:trPr>
        <w:tc>
          <w:tcPr>
            <w:tcW w:w="388"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vMerge w:val="continue"/>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87"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电磁性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噪声</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电磁性噪声．是由于磁场脉冲、磁致伸缩引起电气部件振动所致</w:t>
            </w:r>
          </w:p>
        </w:tc>
      </w:tr>
      <w:tr>
        <w:tblPrEx>
          <w:tblLayout w:type="fixed"/>
          <w:tblCellMar>
            <w:top w:w="0" w:type="dxa"/>
            <w:left w:w="0" w:type="dxa"/>
            <w:bottom w:w="0" w:type="dxa"/>
            <w:right w:w="0" w:type="dxa"/>
          </w:tblCellMar>
        </w:tblPrEx>
        <w:trPr>
          <w:trHeight w:val="1108" w:hRule="atLeast"/>
        </w:trPr>
        <w:tc>
          <w:tcPr>
            <w:tcW w:w="1579"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噪声的控制措施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消除或降低噪声、振动源，如铆接改为焊接、锤击成型改为液压成型等。为防止振动使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用隔绝物质，如用橡皮、软木和砂石等隔绝噪声。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消除或减少噪声、振动的传播，如吸声、隔声、隔振、阻尼。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加强个人防护和健康监护</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考点九</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振动</w:t>
      </w:r>
      <w:r>
        <w:rPr>
          <w:rFonts w:hint="eastAsia" w:ascii="微软雅黑" w:hAnsi="微软雅黑" w:eastAsia="微软雅黑" w:cs="微软雅黑"/>
          <w:color w:val="000000"/>
          <w:sz w:val="18"/>
          <w:szCs w:val="18"/>
        </w:rPr>
        <w:t>(表5—9)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5—9振动</w:t>
      </w:r>
    </w:p>
    <w:tbl>
      <w:tblPr>
        <w:tblStyle w:val="4"/>
        <w:tblW w:w="8496" w:type="dxa"/>
        <w:tblInd w:w="15" w:type="dxa"/>
        <w:tblLayout w:type="fixed"/>
        <w:tblCellMar>
          <w:top w:w="0" w:type="dxa"/>
          <w:left w:w="0" w:type="dxa"/>
          <w:bottom w:w="0" w:type="dxa"/>
          <w:right w:w="0" w:type="dxa"/>
        </w:tblCellMar>
      </w:tblPr>
      <w:tblGrid>
        <w:gridCol w:w="1675"/>
        <w:gridCol w:w="6821"/>
      </w:tblGrid>
      <w:tr>
        <w:tblPrEx>
          <w:tblLayout w:type="fixed"/>
          <w:tblCellMar>
            <w:top w:w="0" w:type="dxa"/>
            <w:left w:w="0" w:type="dxa"/>
            <w:bottom w:w="0" w:type="dxa"/>
            <w:right w:w="0" w:type="dxa"/>
          </w:tblCellMar>
        </w:tblPrEx>
        <w:trPr>
          <w:trHeight w:val="297" w:hRule="atLeast"/>
        </w:trPr>
        <w:tc>
          <w:tcPr>
            <w:tcW w:w="1675"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79" w:hRule="atLeast"/>
        </w:trPr>
        <w:tc>
          <w:tcPr>
            <w:tcW w:w="1675"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产生振动的机械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产生振动的机械有锻造机、冲压机、压缩机、振动机、送风机和打夯机等。在生产中手臂振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动所造成的危害，较为明显和严重，国家已将手臂振动病列为职业病。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存在手臂振动的生产作业主要有以下几类：操作锤打工具，如操作凿岩机、空气锤、筛选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机、风铲、捣固机和铆钉机等；手持转动工具，如操作电钻、风钻、喷砂机、金刚砂抛光机和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钻孔机等；使用固定轮转工具，如使用砂轮机、抛光机、球磨机和电锯等；驾驶交通运输车辆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与使用农业机械，如驾驶汽车、使用脱粒机</w:t>
            </w:r>
          </w:p>
        </w:tc>
      </w:tr>
      <w:tr>
        <w:tblPrEx>
          <w:tblLayout w:type="fixed"/>
          <w:tblCellMar>
            <w:top w:w="0" w:type="dxa"/>
            <w:left w:w="0" w:type="dxa"/>
            <w:bottom w:w="0" w:type="dxa"/>
            <w:right w:w="0" w:type="dxa"/>
          </w:tblCellMar>
        </w:tblPrEx>
        <w:trPr>
          <w:trHeight w:val="1272" w:hRule="atLeast"/>
        </w:trPr>
        <w:tc>
          <w:tcPr>
            <w:tcW w:w="1675"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振动的控制措施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控制振动源。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改革工艺，采用减振和隔振等措施。如采用焊接等新工艺代替铆接工艺；采用水力清砂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代替风铲清砂；工具的金属部件采用塑料或橡胶材料，减少撞击振动。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限制作业时间和振动强度。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改善作业环境．加强个体防护及健康监护</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辐射(表5一</w:t>
      </w:r>
      <w:r>
        <w:rPr>
          <w:rFonts w:hint="eastAsia" w:ascii="微软雅黑" w:hAnsi="微软雅黑" w:eastAsia="微软雅黑" w:cs="微软雅黑"/>
          <w:color w:val="000000"/>
          <w:sz w:val="18"/>
          <w:szCs w:val="18"/>
        </w:rPr>
        <w:t>10</w:t>
      </w:r>
      <w:r>
        <w:rPr>
          <w:rFonts w:hint="eastAsia" w:ascii="微软雅黑" w:hAnsi="微软雅黑" w:eastAsia="微软雅黑" w:cs="微软雅黑"/>
          <w:color w:val="000000"/>
          <w:sz w:val="18"/>
          <w:szCs w:val="18"/>
        </w:rPr>
        <w:t>)</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表5—10辐射</w:t>
      </w:r>
    </w:p>
    <w:tbl>
      <w:tblPr>
        <w:tblStyle w:val="4"/>
        <w:tblW w:w="8409" w:type="dxa"/>
        <w:tblInd w:w="15" w:type="dxa"/>
        <w:tblLayout w:type="fixed"/>
        <w:tblCellMar>
          <w:top w:w="0" w:type="dxa"/>
          <w:left w:w="0" w:type="dxa"/>
          <w:bottom w:w="0" w:type="dxa"/>
          <w:right w:w="0" w:type="dxa"/>
        </w:tblCellMar>
      </w:tblPr>
      <w:tblGrid>
        <w:gridCol w:w="792"/>
        <w:gridCol w:w="796"/>
        <w:gridCol w:w="682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068" w:hRule="atLeast"/>
        </w:trPr>
        <w:tc>
          <w:tcPr>
            <w:tcW w:w="792"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非电离辐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射的来源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与防护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非电离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辐射的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来源及</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其危害</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射频辐射。射频辐射又称为无线电波，量子能量很小。按波长和频率，射频辐射可分成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高频电磁场、超高频电磁场和微波</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个波段。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红外线辐射。在生产环境中，加热金属、熔融玻璃及强发光体等可成为红外线辐射源。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炼钢工、铸造工、轧钢工、锻钢工、玻璃熔吹工、烧瓷工及焊接工等可受到红外线辐射。红外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线辐射对机体的影响主要是皮肤和眼睛。</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紫外线辐射。在作业场所比较多见的是紫外线对眼睛的损伤，即由电弧光照射所引起的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职业病电光性眼炎。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激光。激光对人体的危害主要是由它的热效应和光化学效应造成的</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br w:type="page"/>
      </w:r>
    </w:p>
    <w:tbl>
      <w:tblPr>
        <w:tblStyle w:val="4"/>
        <w:tblW w:w="8409" w:type="dxa"/>
        <w:tblInd w:w="15" w:type="dxa"/>
        <w:tblLayout w:type="fixed"/>
        <w:tblCellMar>
          <w:top w:w="0" w:type="dxa"/>
          <w:left w:w="0" w:type="dxa"/>
          <w:bottom w:w="0" w:type="dxa"/>
          <w:right w:w="0" w:type="dxa"/>
        </w:tblCellMar>
      </w:tblPr>
      <w:tblGrid>
        <w:gridCol w:w="782"/>
        <w:gridCol w:w="806"/>
        <w:gridCol w:w="682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82" w:hRule="atLeast"/>
        </w:trPr>
        <w:tc>
          <w:tcPr>
            <w:tcW w:w="782"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非电离辐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射的来源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与防护</w:t>
            </w: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非电离辐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射的控制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与防护</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高频电磁场的主要防护措施有场源屏蔽、距离防护和合理布局等。对微波辐射的防护，是直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接减少源的辐射、屏蔽辐射源、采取个人防护及执行安全规则</w:t>
            </w:r>
          </w:p>
        </w:tc>
      </w:tr>
      <w:tr>
        <w:tblPrEx>
          <w:tblLayout w:type="fixed"/>
          <w:tblCellMar>
            <w:top w:w="0" w:type="dxa"/>
            <w:left w:w="0" w:type="dxa"/>
            <w:bottom w:w="0" w:type="dxa"/>
            <w:right w:w="0" w:type="dxa"/>
          </w:tblCellMar>
        </w:tblPrEx>
        <w:trPr>
          <w:trHeight w:val="643" w:hRule="atLeast"/>
        </w:trPr>
        <w:tc>
          <w:tcPr>
            <w:tcW w:w="78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电离辐</w:t>
            </w:r>
          </w:p>
        </w:tc>
        <w:tc>
          <w:tcPr>
            <w:tcW w:w="80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电离辐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射来源</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能产生直接或非直接电离辐射的物质或装置称为电离辐射源，如各种天然放射性核素、人工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放射性核素和</w:t>
            </w:r>
            <w:r>
              <w:rPr>
                <w:rFonts w:hint="eastAsia" w:ascii="微软雅黑" w:hAnsi="微软雅黑" w:eastAsia="微软雅黑" w:cs="微软雅黑"/>
                <w:color w:val="000000"/>
                <w:kern w:val="0"/>
                <w:sz w:val="18"/>
                <w:szCs w:val="18"/>
              </w:rPr>
              <w:t>X</w:t>
            </w:r>
            <w:r>
              <w:rPr>
                <w:rFonts w:hint="eastAsia" w:ascii="微软雅黑" w:hAnsi="微软雅黑" w:eastAsia="微软雅黑" w:cs="微软雅黑"/>
                <w:color w:val="000000"/>
                <w:kern w:val="0"/>
                <w:sz w:val="18"/>
                <w:szCs w:val="18"/>
              </w:rPr>
              <w:t>线机等</w:t>
            </w:r>
          </w:p>
        </w:tc>
      </w:tr>
      <w:tr>
        <w:tblPrEx>
          <w:tblLayout w:type="fixed"/>
          <w:tblCellMar>
            <w:top w:w="0" w:type="dxa"/>
            <w:left w:w="0" w:type="dxa"/>
            <w:bottom w:w="0" w:type="dxa"/>
            <w:right w:w="0" w:type="dxa"/>
          </w:tblCellMar>
        </w:tblPrEx>
        <w:trPr>
          <w:trHeight w:val="787" w:hRule="atLeast"/>
        </w:trPr>
        <w:tc>
          <w:tcPr>
            <w:tcW w:w="782"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射来源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与防护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806"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电离辐射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的防护</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电离辐射的防护分为外照射防护和内照射防护。外照射防护的基本方法有时间防护、距离防</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护和屏蔽防护，通称“外防护三原则”。内照射防护的基本防护方法有围封隔离、除污保洁和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个人防护等综合性防护措施</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异常气象条件(表5一11)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5—11异常气象条件</w:t>
      </w:r>
    </w:p>
    <w:tbl>
      <w:tblPr>
        <w:tblStyle w:val="4"/>
        <w:tblW w:w="8409" w:type="dxa"/>
        <w:tblInd w:w="15" w:type="dxa"/>
        <w:tblLayout w:type="fixed"/>
        <w:tblCellMar>
          <w:top w:w="0" w:type="dxa"/>
          <w:left w:w="0" w:type="dxa"/>
          <w:bottom w:w="0" w:type="dxa"/>
          <w:right w:w="0" w:type="dxa"/>
        </w:tblCellMar>
      </w:tblPr>
      <w:tblGrid>
        <w:gridCol w:w="475"/>
        <w:gridCol w:w="1113"/>
        <w:gridCol w:w="682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6"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高温作业</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生产场所的热源可来自各种熔炉、锅炉、化学反应釜、机械摩擦和转动产热以及人体散热</w:t>
            </w:r>
          </w:p>
        </w:tc>
      </w:tr>
      <w:tr>
        <w:tblPrEx>
          <w:tblLayout w:type="fixed"/>
          <w:tblCellMar>
            <w:top w:w="0" w:type="dxa"/>
            <w:left w:w="0" w:type="dxa"/>
            <w:bottom w:w="0" w:type="dxa"/>
            <w:right w:w="0" w:type="dxa"/>
          </w:tblCellMar>
        </w:tblPrEx>
        <w:trPr>
          <w:trHeight w:val="782"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异常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气象</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高温强热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辐射作业</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是指工作地点气温在</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℃以上或工作地点气温高于夏季室外气温</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℃以上，并有较强的辐射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热作业。如冶金工业的炼钢、炼铁车间，机械制造工业的铸造、锻造，建材工业的陶瓷、玻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璃、搪瓷、砖瓦等窑炉车间．火力电厂的锅炉间等</w:t>
            </w:r>
          </w:p>
        </w:tc>
      </w:tr>
      <w:tr>
        <w:tblPrEx>
          <w:tblLayout w:type="fixed"/>
          <w:tblCellMar>
            <w:top w:w="0" w:type="dxa"/>
            <w:left w:w="0" w:type="dxa"/>
            <w:bottom w:w="0" w:type="dxa"/>
            <w:right w:w="0" w:type="dxa"/>
          </w:tblCellMar>
        </w:tblPrEx>
        <w:trPr>
          <w:trHeight w:val="633" w:hRule="atLeast"/>
        </w:trPr>
        <w:tc>
          <w:tcPr>
            <w:tcW w:w="47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种类</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高温高湿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高温高湿作业，如印染、缫丝、造纸等工业中，液体加热或蒸煮，车间气温可达</w:t>
            </w:r>
            <w:r>
              <w:rPr>
                <w:rFonts w:hint="eastAsia" w:ascii="微软雅黑" w:hAnsi="微软雅黑" w:eastAsia="微软雅黑" w:cs="微软雅黑"/>
                <w:color w:val="000000"/>
                <w:kern w:val="0"/>
                <w:sz w:val="18"/>
                <w:szCs w:val="18"/>
              </w:rPr>
              <w:t>35</w:t>
            </w:r>
            <w:r>
              <w:rPr>
                <w:rFonts w:hint="eastAsia" w:ascii="微软雅黑" w:hAnsi="微软雅黑" w:eastAsia="微软雅黑" w:cs="微软雅黑"/>
                <w:color w:val="000000"/>
                <w:kern w:val="0"/>
                <w:sz w:val="18"/>
                <w:szCs w:val="18"/>
              </w:rPr>
              <w:t>℃以上，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相对湿度达</w:t>
            </w:r>
            <w:r>
              <w:rPr>
                <w:rFonts w:hint="eastAsia" w:ascii="微软雅黑" w:hAnsi="微软雅黑" w:eastAsia="微软雅黑" w:cs="微软雅黑"/>
                <w:color w:val="000000"/>
                <w:kern w:val="0"/>
                <w:sz w:val="18"/>
                <w:szCs w:val="18"/>
              </w:rPr>
              <w:t>90</w:t>
            </w:r>
            <w:r>
              <w:rPr>
                <w:rFonts w:hint="eastAsia" w:ascii="微软雅黑" w:hAnsi="微软雅黑" w:eastAsia="微软雅黑" w:cs="微软雅黑"/>
                <w:color w:val="000000"/>
                <w:kern w:val="0"/>
                <w:sz w:val="18"/>
                <w:szCs w:val="18"/>
              </w:rPr>
              <w:t>％以上。有的煤矿深井井下气温可达</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℃，相对湿度</w:t>
            </w:r>
            <w:r>
              <w:rPr>
                <w:rFonts w:hint="eastAsia" w:ascii="微软雅黑" w:hAnsi="微软雅黑" w:eastAsia="微软雅黑" w:cs="微软雅黑"/>
                <w:color w:val="000000"/>
                <w:kern w:val="0"/>
                <w:sz w:val="18"/>
                <w:szCs w:val="18"/>
              </w:rPr>
              <w:t>95</w:t>
            </w:r>
            <w:r>
              <w:rPr>
                <w:rFonts w:hint="eastAsia" w:ascii="微软雅黑" w:hAnsi="微软雅黑" w:eastAsia="微软雅黑" w:cs="微软雅黑"/>
                <w:color w:val="000000"/>
                <w:kern w:val="0"/>
                <w:sz w:val="18"/>
                <w:szCs w:val="18"/>
              </w:rPr>
              <w:t>％以上</w:t>
            </w:r>
          </w:p>
        </w:tc>
      </w:tr>
      <w:tr>
        <w:tblPrEx>
          <w:tblLayout w:type="fixed"/>
          <w:tblCellMar>
            <w:top w:w="0" w:type="dxa"/>
            <w:left w:w="0" w:type="dxa"/>
            <w:bottom w:w="0" w:type="dxa"/>
            <w:right w:w="0" w:type="dxa"/>
          </w:tblCellMar>
        </w:tblPrEx>
        <w:trPr>
          <w:trHeight w:val="638" w:hRule="atLeast"/>
        </w:trPr>
        <w:tc>
          <w:tcPr>
            <w:tcW w:w="47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其他异常气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象条件作业</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如冬天在寒冷地区或极地从事野外作业，冷库或地窖工作的低温作业，潜水作业和潜涵作业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等高气压作业，高空、高原低气压环境中进行运输、勘探、筑路及采矿等低气压作业</w:t>
            </w:r>
          </w:p>
        </w:tc>
      </w:tr>
      <w:tr>
        <w:tblPrEx>
          <w:tblLayout w:type="fixed"/>
          <w:tblCellMar>
            <w:top w:w="0" w:type="dxa"/>
            <w:left w:w="0" w:type="dxa"/>
            <w:bottom w:w="0" w:type="dxa"/>
            <w:right w:w="0" w:type="dxa"/>
          </w:tblCellMar>
        </w:tblPrEx>
        <w:trPr>
          <w:trHeight w:val="796"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高温作业防护</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于高温作业，首先应合理设计工艺流程，改进生产设备和操作方法，这是改善高温作业条件的根本措施。如钢水连珠、轧钢及铸造等生产自动化可使工人远离热源；采用开放或半开放式作业，利用自然通风，尽量在夏季主导风向下风侧对热源隔离等。</w:t>
            </w:r>
          </w:p>
        </w:tc>
      </w:tr>
      <w:tr>
        <w:tblPrEx>
          <w:tblLayout w:type="fixed"/>
          <w:tblCellMar>
            <w:top w:w="0" w:type="dxa"/>
            <w:left w:w="0" w:type="dxa"/>
            <w:bottom w:w="0" w:type="dxa"/>
            <w:right w:w="0" w:type="dxa"/>
          </w:tblCellMar>
        </w:tblPrEx>
        <w:trPr>
          <w:trHeight w:val="321"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异常</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隔热</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隔热是防止热辐射的重要措施。可利用水来进行</w:t>
            </w:r>
          </w:p>
        </w:tc>
      </w:tr>
      <w:tr>
        <w:tblPrEx>
          <w:tblLayout w:type="fixed"/>
          <w:tblCellMar>
            <w:top w:w="0" w:type="dxa"/>
            <w:left w:w="0" w:type="dxa"/>
            <w:bottom w:w="0" w:type="dxa"/>
            <w:right w:w="0" w:type="dxa"/>
          </w:tblCellMar>
        </w:tblPrEx>
        <w:trPr>
          <w:trHeight w:val="321"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条件</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通风降温</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通风降温方式有自然通风和机械通风两种方式</w:t>
            </w:r>
          </w:p>
        </w:tc>
      </w:tr>
      <w:tr>
        <w:tblPrEx>
          <w:tblLayout w:type="fixed"/>
          <w:tblCellMar>
            <w:top w:w="0" w:type="dxa"/>
            <w:left w:w="0" w:type="dxa"/>
            <w:bottom w:w="0" w:type="dxa"/>
            <w:right w:w="0" w:type="dxa"/>
          </w:tblCellMar>
        </w:tblPrEx>
        <w:trPr>
          <w:trHeight w:val="321"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防护</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保健措施</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供给饮料和补充营养，暑季供应含盐的清凉饮料是有特殊意义的保健措施</w:t>
            </w:r>
          </w:p>
        </w:tc>
      </w:tr>
      <w:tr>
        <w:tblPrEx>
          <w:tblLayout w:type="fixed"/>
          <w:tblCellMar>
            <w:top w:w="0" w:type="dxa"/>
            <w:left w:w="0" w:type="dxa"/>
            <w:bottom w:w="0" w:type="dxa"/>
            <w:right w:w="0" w:type="dxa"/>
          </w:tblCellMar>
        </w:tblPrEx>
        <w:trPr>
          <w:trHeight w:val="316" w:hRule="atLeast"/>
        </w:trPr>
        <w:tc>
          <w:tcPr>
            <w:tcW w:w="47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bookmarkStart w:id="0" w:name="_GoBack"/>
            <w:bookmarkEnd w:id="0"/>
            <w:r>
              <w:rPr>
                <w:rFonts w:hint="eastAsia" w:ascii="微软雅黑" w:hAnsi="微软雅黑" w:eastAsia="微软雅黑" w:cs="微软雅黑"/>
                <w:color w:val="000000"/>
                <w:kern w:val="0"/>
                <w:sz w:val="18"/>
                <w:szCs w:val="18"/>
              </w:rPr>
              <w:t>个体防护</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使用耐热工作服等</w:t>
            </w:r>
          </w:p>
        </w:tc>
      </w:tr>
      <w:tr>
        <w:tblPrEx>
          <w:tblLayout w:type="fixed"/>
          <w:tblCellMar>
            <w:top w:w="0" w:type="dxa"/>
            <w:left w:w="0" w:type="dxa"/>
            <w:bottom w:w="0" w:type="dxa"/>
            <w:right w:w="0" w:type="dxa"/>
          </w:tblCellMar>
        </w:tblPrEx>
        <w:trPr>
          <w:trHeight w:val="628" w:hRule="atLeast"/>
        </w:trPr>
        <w:tc>
          <w:tcPr>
            <w:tcW w:w="475"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异常气压的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预防</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技术革新，如采用管柱钻孔法代替沉箱，工人不必在水下高压作业；遵守安全操作规程；保健措施，高热量、高蛋白饮食等</w:t>
            </w:r>
          </w:p>
        </w:tc>
      </w:tr>
    </w:tbl>
    <w:p>
      <w:pPr>
        <w:rPr>
          <w:rFonts w:hint="eastAsia" w:ascii="微软雅黑" w:hAnsi="微软雅黑" w:eastAsia="微软雅黑" w:cs="微软雅黑"/>
          <w:color w:val="000000"/>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2119D"/>
    <w:rsid w:val="003D3D5D"/>
    <w:rsid w:val="009B1F8F"/>
    <w:rsid w:val="00B2119D"/>
    <w:rsid w:val="00B34E1A"/>
    <w:rsid w:val="00C11DE1"/>
    <w:rsid w:val="23D17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1969</Words>
  <Characters>11228</Characters>
  <Lines>93</Lines>
  <Paragraphs>26</Paragraphs>
  <TotalTime>0</TotalTime>
  <ScaleCrop>false</ScaleCrop>
  <LinksUpToDate>false</LinksUpToDate>
  <CharactersWithSpaces>13171</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2017-06-20T01:29:00Z</dcterms:created>
  <dc:creator>个人用户</dc:creator>
  <cp:lastModifiedBy>hp</cp:lastModifiedBy>
  <dcterms:modified xsi:type="dcterms:W3CDTF">2017-08-26T11:48:29Z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